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E77C89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AA665D">
        <w:rPr>
          <w:rFonts w:cs="Arial"/>
          <w:bCs/>
          <w:noProof w:val="0"/>
          <w:sz w:val="24"/>
          <w:szCs w:val="24"/>
        </w:rPr>
        <w:t>20</w:t>
      </w:r>
      <w:r w:rsidR="002C1220" w:rsidRPr="000665EA">
        <w:rPr>
          <w:rFonts w:cs="Arial"/>
          <w:bCs/>
          <w:noProof w:val="0"/>
          <w:sz w:val="24"/>
          <w:szCs w:val="24"/>
        </w:rPr>
        <w:tab/>
        <w:t>R3-</w:t>
      </w:r>
      <w:r w:rsidR="00FA4A45" w:rsidRPr="000665EA">
        <w:rPr>
          <w:rFonts w:cs="Arial"/>
          <w:bCs/>
          <w:noProof w:val="0"/>
          <w:sz w:val="24"/>
          <w:szCs w:val="24"/>
        </w:rPr>
        <w:t>2</w:t>
      </w:r>
      <w:r w:rsidR="00ED0DD8">
        <w:rPr>
          <w:rFonts w:cs="Arial"/>
          <w:bCs/>
          <w:noProof w:val="0"/>
          <w:sz w:val="24"/>
          <w:szCs w:val="24"/>
        </w:rPr>
        <w:t>3</w:t>
      </w:r>
      <w:r w:rsidR="00A4299F">
        <w:rPr>
          <w:rFonts w:cs="Arial"/>
          <w:bCs/>
          <w:noProof w:val="0"/>
          <w:sz w:val="24"/>
          <w:szCs w:val="24"/>
        </w:rPr>
        <w:t>2694</w:t>
      </w:r>
    </w:p>
    <w:bookmarkEnd w:id="0"/>
    <w:p w14:paraId="5669B020" w14:textId="610D11B5" w:rsidR="004C654E" w:rsidRPr="004F4539" w:rsidRDefault="00AA665D" w:rsidP="004C654E">
      <w:pPr>
        <w:pStyle w:val="Header"/>
        <w:tabs>
          <w:tab w:val="left" w:pos="2410"/>
        </w:tabs>
        <w:rPr>
          <w:rFonts w:eastAsia="MS Mincho" w:cs="Arial"/>
          <w:sz w:val="24"/>
          <w:szCs w:val="24"/>
        </w:rPr>
      </w:pPr>
      <w:r w:rsidRPr="00AA665D">
        <w:rPr>
          <w:rFonts w:eastAsia="MS Mincho" w:cs="Arial"/>
          <w:sz w:val="24"/>
          <w:szCs w:val="24"/>
        </w:rPr>
        <w:t>Incheon, Korea, 22 - 26 May, 2023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6999B7C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0E2A">
        <w:rPr>
          <w:rFonts w:ascii="Arial" w:hAnsi="Arial" w:cs="Arial"/>
          <w:b/>
          <w:bCs/>
          <w:sz w:val="24"/>
        </w:rPr>
        <w:t xml:space="preserve">LBT </w:t>
      </w:r>
      <w:r w:rsidR="00E844E3">
        <w:rPr>
          <w:rFonts w:ascii="Arial" w:hAnsi="Arial" w:cs="Arial"/>
          <w:b/>
          <w:bCs/>
          <w:sz w:val="24"/>
        </w:rPr>
        <w:t>waiting time</w:t>
      </w:r>
      <w:r w:rsidR="00FB407E">
        <w:rPr>
          <w:rFonts w:ascii="Arial" w:hAnsi="Arial" w:cs="Arial"/>
          <w:b/>
          <w:bCs/>
          <w:sz w:val="24"/>
        </w:rPr>
        <w:t xml:space="preserve"> for </w:t>
      </w:r>
      <w:r w:rsidR="00A4299F">
        <w:rPr>
          <w:rFonts w:ascii="Arial" w:hAnsi="Arial" w:cs="Arial"/>
          <w:b/>
          <w:bCs/>
          <w:sz w:val="24"/>
        </w:rPr>
        <w:t>correct classification of MRO events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3F0C9EC9" w:rsidR="002F43B3" w:rsidRDefault="001E0EA3" w:rsidP="00D8552F">
      <w:bookmarkStart w:id="1" w:name="_Toc474247438"/>
      <w:r>
        <w:t>At RAN3 #119-bis, one of the key agreements concerned the objective of the MRO for NR-U:</w:t>
      </w:r>
    </w:p>
    <w:p w14:paraId="4E619CAA" w14:textId="54843C42" w:rsidR="001E0EA3" w:rsidRDefault="001E0EA3" w:rsidP="00D8552F">
      <w:r w:rsidRPr="002D28B3">
        <w:rPr>
          <w:rFonts w:ascii="Calibri" w:hAnsi="Calibri" w:cs="Calibri" w:hint="eastAsia"/>
          <w:b/>
          <w:bCs/>
          <w:color w:val="008000"/>
          <w:sz w:val="18"/>
        </w:rPr>
        <w:t>Enhancements of RLF reports and RA reports are beneficial to separate mobility related errors from the LBT-related ones.</w:t>
      </w:r>
    </w:p>
    <w:p w14:paraId="4E3334FE" w14:textId="01EEBE71" w:rsidR="00AA665D" w:rsidRDefault="001E0EA3" w:rsidP="00D8552F">
      <w:r>
        <w:t>We have already discussed the issue in the past, but in t</w:t>
      </w:r>
      <w:r w:rsidR="00AA665D">
        <w:t>h</w:t>
      </w:r>
      <w:r w:rsidR="00313947">
        <w:t>is paper wants to</w:t>
      </w:r>
      <w:r w:rsidR="00AA665D">
        <w:t xml:space="preserve"> </w:t>
      </w:r>
      <w:r w:rsidR="00313947">
        <w:t>create a better awareness for the importance of the waiting time for MRO in context of NR-U</w:t>
      </w:r>
      <w:r>
        <w:t xml:space="preserve"> and to show its effectiveness as compared to other methods</w:t>
      </w:r>
      <w:r w:rsidR="00313947">
        <w:t>.</w:t>
      </w:r>
      <w:r w:rsidR="00AA665D">
        <w:t xml:space="preserve"> </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686D1E4D" w14:textId="77777777" w:rsidR="00CC7A73" w:rsidRDefault="00313947" w:rsidP="007C75EB">
      <w:r>
        <w:t xml:space="preserve">The recent discussions already created a common understanding that the objective of MRO is the optimization of </w:t>
      </w:r>
      <w:r w:rsidR="00CC7A73">
        <w:t xml:space="preserve">the </w:t>
      </w:r>
      <w:r>
        <w:t xml:space="preserve">handover timing </w:t>
      </w:r>
      <w:r w:rsidR="00CC7A73">
        <w:t xml:space="preserve">for each cell-pair border individually. In licenced spectrum, trigger points immediately result in mobility related signalling messages, and adjusting the trigger points is equal with adjusting the timing of the handover. </w:t>
      </w:r>
    </w:p>
    <w:p w14:paraId="0987337A" w14:textId="58525237" w:rsidR="00CC7A73" w:rsidRDefault="00CC7A73" w:rsidP="007C75EB">
      <w:r>
        <w:t xml:space="preserve">Due to LBT in NR-U, the immediate reaction on trigger points cannot be guaranteed since each scheduling request </w:t>
      </w:r>
      <w:r w:rsidR="005C448F">
        <w:t xml:space="preserve">(SR) </w:t>
      </w:r>
      <w:proofErr w:type="gramStart"/>
      <w:r>
        <w:t>has to</w:t>
      </w:r>
      <w:proofErr w:type="gramEnd"/>
      <w:r>
        <w:t xml:space="preserve"> follow the LBT policy. </w:t>
      </w:r>
      <w:r w:rsidR="005C448F">
        <w:t xml:space="preserve">The “LBT failure” is an indication from PHY layer to MAC layer that an SR could not be carried </w:t>
      </w:r>
      <w:proofErr w:type="gramStart"/>
      <w:r w:rsidR="005C448F">
        <w:t>out, since</w:t>
      </w:r>
      <w:proofErr w:type="gramEnd"/>
      <w:r w:rsidR="005C448F">
        <w:t xml:space="preserve"> channel blockage was detected by LBT. Note, it is called failure from PHY perspective, since transmission of SR failed, but it is wanted behaviour from NR-U fairness perspective. </w:t>
      </w:r>
      <w:r w:rsidR="008123F1">
        <w:t xml:space="preserve">If a maximum number of LBT failures are consecutively occurring a “consistent LBT failure” is declared, which results in an RLF with </w:t>
      </w:r>
      <w:r w:rsidR="008123F1" w:rsidRPr="008123F1">
        <w:t>unique</w:t>
      </w:r>
      <w:r w:rsidR="008123F1" w:rsidRPr="008123F1">
        <w:rPr>
          <w:i/>
          <w:iCs/>
        </w:rPr>
        <w:t xml:space="preserve"> </w:t>
      </w:r>
      <w:proofErr w:type="spellStart"/>
      <w:r w:rsidR="008123F1" w:rsidRPr="008123F1">
        <w:rPr>
          <w:i/>
          <w:iCs/>
        </w:rPr>
        <w:t>rlf</w:t>
      </w:r>
      <w:proofErr w:type="spellEnd"/>
      <w:r w:rsidR="008123F1" w:rsidRPr="008123F1">
        <w:rPr>
          <w:i/>
          <w:iCs/>
        </w:rPr>
        <w:t>-Cause</w:t>
      </w:r>
      <w:r w:rsidR="008123F1">
        <w:t xml:space="preserve"> as </w:t>
      </w:r>
      <w:proofErr w:type="spellStart"/>
      <w:r w:rsidR="008123F1" w:rsidRPr="008123F1">
        <w:rPr>
          <w:i/>
          <w:iCs/>
        </w:rPr>
        <w:t>lbtFailure</w:t>
      </w:r>
      <w:proofErr w:type="spellEnd"/>
      <w:r w:rsidR="008123F1">
        <w:t>, which already disqualifies this RLF report from MRO.</w:t>
      </w:r>
    </w:p>
    <w:p w14:paraId="6BC3BC29" w14:textId="77777777" w:rsidR="00C419B8" w:rsidRDefault="00E366D8" w:rsidP="007C75EB">
      <w:r>
        <w:t xml:space="preserve">But if the maximum number for consistent LBT failure is not reached, only the information about the waiting time helps the first instance analysing the RLF report whether it qualifies for creating an MRO counter or not. If the accumulated waiting time experienced both for UL and DL </w:t>
      </w:r>
      <w:proofErr w:type="spellStart"/>
      <w:r>
        <w:t>signaling</w:t>
      </w:r>
      <w:proofErr w:type="spellEnd"/>
      <w:r>
        <w:t xml:space="preserve"> is above a certain threshold, this RLF report will also excluded from MRO process and no counter created.</w:t>
      </w:r>
    </w:p>
    <w:p w14:paraId="0575F626" w14:textId="4410F670" w:rsidR="00C419B8" w:rsidRPr="008123F1" w:rsidRDefault="00C419B8" w:rsidP="00CC6694">
      <w:r w:rsidRPr="006A64D5">
        <w:rPr>
          <w:b/>
          <w:bCs/>
        </w:rPr>
        <w:t>Observation 1</w:t>
      </w:r>
      <w:r>
        <w:t xml:space="preserve">: </w:t>
      </w:r>
      <w:r w:rsidR="00091D09">
        <w:t>Single LBT failure is not yet a RLF or HOF – only if it repeats for a given duration, RLF or HOF due to LBT may be declared.</w:t>
      </w:r>
      <w:r w:rsidR="00CC6694">
        <w:t xml:space="preserve"> Therefore, the time while access to medium is awaited is the criterion </w:t>
      </w:r>
      <w:r>
        <w:t xml:space="preserve">to decide whether RLF report is to be excluded from </w:t>
      </w:r>
      <w:r w:rsidR="000C0E9B">
        <w:t xml:space="preserve">mobility-related </w:t>
      </w:r>
      <w:r>
        <w:t>MRO process</w:t>
      </w:r>
      <w:r w:rsidR="00622BEA">
        <w:t xml:space="preserve"> or not.</w:t>
      </w:r>
    </w:p>
    <w:p w14:paraId="688D15AE" w14:textId="59CAFA4E" w:rsidR="00545715" w:rsidRDefault="000C0E9B" w:rsidP="007C75EB">
      <w:r>
        <w:t xml:space="preserve">One may consider that a simple flag reported from the UE can offer this information, too. </w:t>
      </w:r>
      <w:r w:rsidR="00622BEA">
        <w:t xml:space="preserve">The usage of a flag that indicates </w:t>
      </w:r>
      <w:r w:rsidR="006A64D5">
        <w:t xml:space="preserve">the occurrence of </w:t>
      </w:r>
      <w:r w:rsidR="00622BEA">
        <w:t xml:space="preserve">“LBT failures” is not </w:t>
      </w:r>
      <w:proofErr w:type="gramStart"/>
      <w:r w:rsidR="00622BEA">
        <w:t>sufficient, since</w:t>
      </w:r>
      <w:proofErr w:type="gramEnd"/>
      <w:r w:rsidR="00622BEA">
        <w:t xml:space="preserve"> </w:t>
      </w:r>
      <w:r w:rsidR="006A64D5">
        <w:t xml:space="preserve">the </w:t>
      </w:r>
      <w:r w:rsidR="00487EAD">
        <w:t xml:space="preserve">UE or base station </w:t>
      </w:r>
      <w:r w:rsidR="00487EAD" w:rsidRPr="00487EAD">
        <w:t xml:space="preserve">must wait a random period of time before attempting to access the medium again </w:t>
      </w:r>
      <w:r w:rsidR="00487EAD">
        <w:t>i</w:t>
      </w:r>
      <w:r w:rsidR="00487EAD" w:rsidRPr="00487EAD">
        <w:t>f the channel is in us</w:t>
      </w:r>
      <w:r w:rsidR="00487EAD">
        <w:t>e</w:t>
      </w:r>
      <w:r w:rsidR="00487EAD" w:rsidRPr="00487EAD">
        <w:t xml:space="preserve">. This </w:t>
      </w:r>
      <w:r w:rsidR="00487EAD">
        <w:t>happens</w:t>
      </w:r>
      <w:r w:rsidR="00487EAD" w:rsidRPr="00487EAD">
        <w:t xml:space="preserve"> </w:t>
      </w:r>
      <w:r w:rsidR="006A64D5">
        <w:t>between the subsequent channel access attempts</w:t>
      </w:r>
      <w:r w:rsidR="00545715">
        <w:t>. A</w:t>
      </w:r>
      <w:r w:rsidR="00487EAD">
        <w:t xml:space="preserve"> flag would set for one single LBT failure</w:t>
      </w:r>
      <w:r w:rsidR="00545715">
        <w:t xml:space="preserve"> with almost no waiting time until next successful attempt and for multiple subsequent LBT failures with arbitrary back-off slots in between</w:t>
      </w:r>
      <w:r w:rsidR="00487EAD">
        <w:t xml:space="preserve">. </w:t>
      </w:r>
      <w:r w:rsidR="006A64D5">
        <w:t xml:space="preserve">Even the number of LBT failures does not </w:t>
      </w:r>
      <w:r w:rsidR="00545715">
        <w:t>help to get a qualified information on the timing impact, since the arbitrary back-off slots are not considered.</w:t>
      </w:r>
    </w:p>
    <w:p w14:paraId="3AB1275D" w14:textId="1A442A32" w:rsidR="00545715" w:rsidRDefault="00545715" w:rsidP="00545715">
      <w:r w:rsidRPr="006A64D5">
        <w:rPr>
          <w:b/>
          <w:bCs/>
        </w:rPr>
        <w:t xml:space="preserve">Observation </w:t>
      </w:r>
      <w:r w:rsidR="00BB4EA8">
        <w:rPr>
          <w:b/>
          <w:bCs/>
        </w:rPr>
        <w:t>2</w:t>
      </w:r>
      <w:r>
        <w:t>: A flag indication the LBT failure occurrence</w:t>
      </w:r>
      <w:r w:rsidR="00803045">
        <w:t xml:space="preserve">, or a of </w:t>
      </w:r>
      <w:proofErr w:type="gramStart"/>
      <w:r w:rsidR="00803045">
        <w:t>a number of</w:t>
      </w:r>
      <w:proofErr w:type="gramEnd"/>
      <w:r w:rsidR="00803045">
        <w:t xml:space="preserve"> occurrences,</w:t>
      </w:r>
      <w:r>
        <w:t xml:space="preserve"> does not provide the needed insight on handover timing impact to decide of RLF</w:t>
      </w:r>
      <w:r w:rsidR="000C0E9B">
        <w:t xml:space="preserve"> Report</w:t>
      </w:r>
      <w:r>
        <w:t xml:space="preserve"> can be </w:t>
      </w:r>
      <w:r w:rsidR="000C0E9B">
        <w:t>considered related to mobility or not</w:t>
      </w:r>
      <w:r>
        <w:t>.</w:t>
      </w:r>
    </w:p>
    <w:p w14:paraId="164F8A06" w14:textId="67A1072F" w:rsidR="00CC6694" w:rsidRDefault="00CC6694" w:rsidP="00545715">
      <w:r>
        <w:t>Of course, one may consider an alternative, where the UE monitors the time during which LBT fails and based on this, flags an RLF/HOF as LBT-related. This, however, effectively is still a solution based on the waiting time, which must be configured in the UE. Furthermore, reporting only the result from the UE rids the MRO algorithm from obtaining further insight (</w:t>
      </w:r>
      <w:proofErr w:type="gramStart"/>
      <w:r>
        <w:t>e.g.</w:t>
      </w:r>
      <w:proofErr w:type="gramEnd"/>
      <w:r>
        <w:t xml:space="preserve"> identifying “near failure” </w:t>
      </w:r>
      <w:r w:rsidR="00803045">
        <w:t>cases).</w:t>
      </w:r>
    </w:p>
    <w:p w14:paraId="7B3C1DEF" w14:textId="3AD7BA46" w:rsidR="00545715" w:rsidRDefault="00545715" w:rsidP="00545715">
      <w:r w:rsidRPr="006A64D5">
        <w:rPr>
          <w:b/>
          <w:bCs/>
        </w:rPr>
        <w:lastRenderedPageBreak/>
        <w:t xml:space="preserve">Observation </w:t>
      </w:r>
      <w:r w:rsidR="00BB4EA8">
        <w:rPr>
          <w:b/>
          <w:bCs/>
        </w:rPr>
        <w:t>3</w:t>
      </w:r>
      <w:r>
        <w:t xml:space="preserve">: </w:t>
      </w:r>
      <w:r w:rsidR="00803045">
        <w:t xml:space="preserve">Configuring the UE with the timer to enable detection of LBT-related failures is effectively the same </w:t>
      </w:r>
      <w:proofErr w:type="gramStart"/>
      <w:r w:rsidR="00803045">
        <w:t>solution, but</w:t>
      </w:r>
      <w:proofErr w:type="gramEnd"/>
      <w:r w:rsidR="00803045">
        <w:t xml:space="preserve"> rids the MRO algorithm of valuable information that may be used to identify “near failure” cases.</w:t>
      </w:r>
    </w:p>
    <w:p w14:paraId="2A6146F1" w14:textId="03A81F5F" w:rsidR="00F35272" w:rsidRDefault="004A2B20" w:rsidP="00F35272">
      <w:pPr>
        <w:spacing w:after="120"/>
      </w:pPr>
      <w:r>
        <w:t xml:space="preserve">A qualified </w:t>
      </w:r>
      <w:r w:rsidR="00F35272">
        <w:t xml:space="preserve">decision </w:t>
      </w:r>
      <w:r>
        <w:t xml:space="preserve">whether the RLF linked to a mobility procedure was spoiled by LBT </w:t>
      </w:r>
      <w:r w:rsidR="00F35272">
        <w:t xml:space="preserve">can be only derived when all </w:t>
      </w:r>
      <w:r>
        <w:t xml:space="preserve">LBT-caused </w:t>
      </w:r>
      <w:r w:rsidR="00F35272">
        <w:t>waiting</w:t>
      </w:r>
      <w:r>
        <w:t>/deferral</w:t>
      </w:r>
      <w:r w:rsidR="00F35272">
        <w:t xml:space="preserve"> time periods (uplink and downlink) are </w:t>
      </w:r>
      <w:proofErr w:type="gramStart"/>
      <w:r w:rsidR="00F35272">
        <w:t>taken into account</w:t>
      </w:r>
      <w:proofErr w:type="gramEnd"/>
      <w:r w:rsidR="00F35272">
        <w:t xml:space="preserve">. </w:t>
      </w:r>
      <w:r>
        <w:t>The UL signalling messages being deferred by LBT can be monitor and logged in the UE, while the affected DL signalling messages are to be logged in network node and need to be retrieved by entity doing the root cause analysis of the RLF.</w:t>
      </w:r>
    </w:p>
    <w:p w14:paraId="19928BF7" w14:textId="77777777" w:rsidR="000A3E3A" w:rsidRDefault="003F2210" w:rsidP="00BD227B">
      <w:pPr>
        <w:rPr>
          <w:b/>
          <w:bCs/>
          <w:lang w:val="en-US"/>
        </w:rPr>
      </w:pPr>
      <w:r w:rsidRPr="003F2210">
        <w:rPr>
          <w:b/>
          <w:bCs/>
          <w:lang w:val="en-US"/>
        </w:rPr>
        <w:t xml:space="preserve">Proposal </w:t>
      </w:r>
      <w:r w:rsidR="004A2B20">
        <w:rPr>
          <w:b/>
          <w:bCs/>
          <w:lang w:val="en-US"/>
        </w:rPr>
        <w:t>1</w:t>
      </w:r>
      <w:r w:rsidRPr="003F2210">
        <w:rPr>
          <w:b/>
          <w:bCs/>
          <w:lang w:val="en-US"/>
        </w:rPr>
        <w:t xml:space="preserve">: </w:t>
      </w:r>
      <w:r w:rsidR="004A2B20">
        <w:rPr>
          <w:b/>
          <w:bCs/>
          <w:lang w:val="en-US"/>
        </w:rPr>
        <w:t xml:space="preserve">RAN3 should confirm the importance and necessity of documented </w:t>
      </w:r>
      <w:r w:rsidR="000A3E3A">
        <w:rPr>
          <w:b/>
          <w:bCs/>
          <w:lang w:val="en-US"/>
        </w:rPr>
        <w:t xml:space="preserve">LBT-caused </w:t>
      </w:r>
      <w:r w:rsidR="004A2B20">
        <w:rPr>
          <w:b/>
          <w:bCs/>
          <w:lang w:val="en-US"/>
        </w:rPr>
        <w:t>waiting/</w:t>
      </w:r>
      <w:r w:rsidR="000A3E3A">
        <w:rPr>
          <w:b/>
          <w:bCs/>
          <w:lang w:val="en-US"/>
        </w:rPr>
        <w:t>deferral times both in the UE and gNB, and UE’s logging is to be reported in the RLF report.</w:t>
      </w:r>
    </w:p>
    <w:p w14:paraId="747C8E75" w14:textId="537453DA" w:rsidR="00F35272" w:rsidRPr="003F2210" w:rsidRDefault="000A3E3A" w:rsidP="00BD227B">
      <w:pPr>
        <w:rPr>
          <w:b/>
          <w:bCs/>
          <w:lang w:val="en-US"/>
        </w:rPr>
      </w:pPr>
      <w:r>
        <w:rPr>
          <w:b/>
          <w:bCs/>
          <w:lang w:val="en-US"/>
        </w:rPr>
        <w:t xml:space="preserve">Proposal 2: The </w:t>
      </w:r>
      <w:r w:rsidR="005108C8">
        <w:rPr>
          <w:b/>
          <w:bCs/>
          <w:lang w:val="en-US"/>
        </w:rPr>
        <w:t xml:space="preserve">accumulated </w:t>
      </w:r>
      <w:r>
        <w:rPr>
          <w:b/>
          <w:bCs/>
          <w:lang w:val="en-US"/>
        </w:rPr>
        <w:t xml:space="preserve">waiting time </w:t>
      </w:r>
      <w:r w:rsidR="005108C8">
        <w:rPr>
          <w:b/>
          <w:bCs/>
          <w:lang w:val="en-US"/>
        </w:rPr>
        <w:t xml:space="preserve">in UL and DL direction is used as criterion to judge the RLF as </w:t>
      </w:r>
      <w:proofErr w:type="gramStart"/>
      <w:r w:rsidR="000C0E9B">
        <w:rPr>
          <w:b/>
          <w:bCs/>
          <w:lang w:val="en-US"/>
        </w:rPr>
        <w:t>mobility-related</w:t>
      </w:r>
      <w:proofErr w:type="gramEnd"/>
      <w:r w:rsidR="005108C8">
        <w:rPr>
          <w:b/>
          <w:bCs/>
          <w:lang w:val="en-U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65D18607" w14:textId="17C49130" w:rsidR="00042B69" w:rsidRDefault="002F4257" w:rsidP="002424B8">
      <w:pPr>
        <w:jc w:val="both"/>
        <w:rPr>
          <w:bCs/>
        </w:rPr>
      </w:pPr>
      <w:r>
        <w:rPr>
          <w:bCs/>
        </w:rPr>
        <w:t>In this paper,</w:t>
      </w:r>
      <w:r w:rsidR="00E92F0B">
        <w:rPr>
          <w:bCs/>
        </w:rPr>
        <w:t xml:space="preserve"> we address an agreement from RAN3 #119-bis and explain that the only way to have it fully addressed is enabling reporting the waiting time (as compared to </w:t>
      </w:r>
      <w:proofErr w:type="gramStart"/>
      <w:r w:rsidR="00E92F0B">
        <w:rPr>
          <w:bCs/>
        </w:rPr>
        <w:t>e.g.</w:t>
      </w:r>
      <w:proofErr w:type="gramEnd"/>
      <w:r w:rsidR="00E92F0B">
        <w:rPr>
          <w:bCs/>
        </w:rPr>
        <w:t xml:space="preserve"> a flag reported from the UE)</w:t>
      </w:r>
      <w:r w:rsidR="00BB4EA8">
        <w:rPr>
          <w:bCs/>
        </w:rPr>
        <w:t>. We make following observations:</w:t>
      </w:r>
    </w:p>
    <w:p w14:paraId="7A37B04F" w14:textId="77777777" w:rsidR="00BB4EA8" w:rsidRPr="00BB4EA8" w:rsidRDefault="00BB4EA8" w:rsidP="00BB4EA8">
      <w:pPr>
        <w:ind w:left="284"/>
        <w:jc w:val="both"/>
        <w:rPr>
          <w:bCs/>
        </w:rPr>
      </w:pPr>
      <w:r w:rsidRPr="00BB4EA8">
        <w:rPr>
          <w:bCs/>
        </w:rPr>
        <w:t>Observation 1: Single LBT failure is not yet a RLF or HOF – only if it repeats for a given duration, RLF or HOF due to LBT may be declared. Therefore, the time while access to medium is awaited is the criterion to decide whether RLF report is to be excluded from mobility-related MRO process or not.</w:t>
      </w:r>
    </w:p>
    <w:p w14:paraId="4573D151" w14:textId="77777777" w:rsidR="00BB4EA8" w:rsidRPr="00BB4EA8" w:rsidRDefault="00BB4EA8" w:rsidP="00BB4EA8">
      <w:pPr>
        <w:ind w:left="284"/>
        <w:jc w:val="both"/>
        <w:rPr>
          <w:bCs/>
        </w:rPr>
      </w:pPr>
      <w:r w:rsidRPr="00BB4EA8">
        <w:rPr>
          <w:bCs/>
        </w:rPr>
        <w:t xml:space="preserve">Observation 2: A flag indication the LBT failure occurrence, or a of </w:t>
      </w:r>
      <w:proofErr w:type="gramStart"/>
      <w:r w:rsidRPr="00BB4EA8">
        <w:rPr>
          <w:bCs/>
        </w:rPr>
        <w:t>a number of</w:t>
      </w:r>
      <w:proofErr w:type="gramEnd"/>
      <w:r w:rsidRPr="00BB4EA8">
        <w:rPr>
          <w:bCs/>
        </w:rPr>
        <w:t xml:space="preserve"> occurrences, does not provide the needed insight on handover timing impact to decide of RLF Report can be considered related to mobility or not.</w:t>
      </w:r>
    </w:p>
    <w:p w14:paraId="6B029B34" w14:textId="212E81CA" w:rsidR="00BB4EA8" w:rsidRDefault="00BB4EA8" w:rsidP="00BB4EA8">
      <w:pPr>
        <w:ind w:left="284"/>
        <w:jc w:val="both"/>
        <w:rPr>
          <w:bCs/>
        </w:rPr>
      </w:pPr>
      <w:r w:rsidRPr="00BB4EA8">
        <w:rPr>
          <w:bCs/>
        </w:rPr>
        <w:t xml:space="preserve">Observation 3: Configuring the UE with the timer to enable detection of LBT-related failures is effectively the same </w:t>
      </w:r>
      <w:proofErr w:type="gramStart"/>
      <w:r w:rsidRPr="00BB4EA8">
        <w:rPr>
          <w:bCs/>
        </w:rPr>
        <w:t>solution, but</w:t>
      </w:r>
      <w:proofErr w:type="gramEnd"/>
      <w:r w:rsidRPr="00BB4EA8">
        <w:rPr>
          <w:bCs/>
        </w:rPr>
        <w:t xml:space="preserve"> rids the MRO algorithm of valuable information that may be used to identify “near failure” cases.</w:t>
      </w:r>
    </w:p>
    <w:p w14:paraId="1035F615" w14:textId="222B0747" w:rsidR="00BB4EA8" w:rsidRDefault="00BB4EA8" w:rsidP="00BB4EA8">
      <w:pPr>
        <w:jc w:val="both"/>
        <w:rPr>
          <w:bCs/>
        </w:rPr>
      </w:pPr>
      <w:r>
        <w:rPr>
          <w:bCs/>
        </w:rPr>
        <w:t>Based on them, we have following proposals:</w:t>
      </w:r>
    </w:p>
    <w:p w14:paraId="7EE36AA6" w14:textId="77777777" w:rsidR="00BB4EA8" w:rsidRPr="00BB4EA8" w:rsidRDefault="00BB4EA8" w:rsidP="00BB4EA8">
      <w:pPr>
        <w:ind w:left="284"/>
        <w:jc w:val="both"/>
        <w:rPr>
          <w:bCs/>
        </w:rPr>
      </w:pPr>
      <w:r w:rsidRPr="00BB4EA8">
        <w:rPr>
          <w:bCs/>
        </w:rPr>
        <w:t>Proposal 1: RAN3 should confirm the importance and necessity of documented LBT-caused waiting/deferral times both in the UE and gNB, and UE’s logging is to be reported in the RLF report.</w:t>
      </w:r>
    </w:p>
    <w:p w14:paraId="16DC36E4" w14:textId="757F614E" w:rsidR="00E92F0B" w:rsidRDefault="00BB4EA8" w:rsidP="00BB4EA8">
      <w:pPr>
        <w:ind w:left="284"/>
        <w:jc w:val="both"/>
        <w:rPr>
          <w:bCs/>
        </w:rPr>
      </w:pPr>
      <w:r w:rsidRPr="00BB4EA8">
        <w:rPr>
          <w:bCs/>
        </w:rPr>
        <w:t xml:space="preserve">Proposal 2: The accumulated waiting time in UL and DL direction is used as criterion to judge the RLF as </w:t>
      </w:r>
      <w:proofErr w:type="gramStart"/>
      <w:r w:rsidRPr="00BB4EA8">
        <w:rPr>
          <w:bCs/>
        </w:rPr>
        <w:t>mobility-related</w:t>
      </w:r>
      <w:proofErr w:type="gramEnd"/>
      <w:r w:rsidRPr="00BB4EA8">
        <w:rPr>
          <w:bCs/>
        </w:rPr>
        <w:t>.</w:t>
      </w:r>
    </w:p>
    <w:sectPr w:rsidR="00E92F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38B6" w14:textId="77777777" w:rsidR="003B68E4" w:rsidRDefault="003B68E4">
      <w:r>
        <w:separator/>
      </w:r>
    </w:p>
  </w:endnote>
  <w:endnote w:type="continuationSeparator" w:id="0">
    <w:p w14:paraId="076D3D03" w14:textId="77777777" w:rsidR="003B68E4" w:rsidRDefault="003B68E4">
      <w:r>
        <w:continuationSeparator/>
      </w:r>
    </w:p>
  </w:endnote>
  <w:endnote w:type="continuationNotice" w:id="1">
    <w:p w14:paraId="5F9AA803" w14:textId="77777777" w:rsidR="003B68E4" w:rsidRDefault="003B6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8058" w14:textId="77777777" w:rsidR="003B68E4" w:rsidRDefault="003B68E4">
      <w:r>
        <w:separator/>
      </w:r>
    </w:p>
  </w:footnote>
  <w:footnote w:type="continuationSeparator" w:id="0">
    <w:p w14:paraId="4177E053" w14:textId="77777777" w:rsidR="003B68E4" w:rsidRDefault="003B68E4">
      <w:r>
        <w:continuationSeparator/>
      </w:r>
    </w:p>
  </w:footnote>
  <w:footnote w:type="continuationNotice" w:id="1">
    <w:p w14:paraId="3C555FD5" w14:textId="77777777" w:rsidR="003B68E4" w:rsidRDefault="003B68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592498">
    <w:abstractNumId w:val="25"/>
  </w:num>
  <w:num w:numId="2" w16cid:durableId="936138773">
    <w:abstractNumId w:val="37"/>
  </w:num>
  <w:num w:numId="3" w16cid:durableId="1189291806">
    <w:abstractNumId w:val="19"/>
  </w:num>
  <w:num w:numId="4" w16cid:durableId="1042365438">
    <w:abstractNumId w:val="9"/>
  </w:num>
  <w:num w:numId="5" w16cid:durableId="1954283856">
    <w:abstractNumId w:val="11"/>
  </w:num>
  <w:num w:numId="6" w16cid:durableId="1863590163">
    <w:abstractNumId w:val="46"/>
  </w:num>
  <w:num w:numId="7" w16cid:durableId="1327707122">
    <w:abstractNumId w:val="32"/>
  </w:num>
  <w:num w:numId="8" w16cid:durableId="1044523482">
    <w:abstractNumId w:val="20"/>
  </w:num>
  <w:num w:numId="9" w16cid:durableId="1880702784">
    <w:abstractNumId w:val="45"/>
  </w:num>
  <w:num w:numId="10" w16cid:durableId="850874015">
    <w:abstractNumId w:val="31"/>
  </w:num>
  <w:num w:numId="11" w16cid:durableId="637763169">
    <w:abstractNumId w:val="16"/>
  </w:num>
  <w:num w:numId="12" w16cid:durableId="1075512627">
    <w:abstractNumId w:val="40"/>
  </w:num>
  <w:num w:numId="13" w16cid:durableId="628122053">
    <w:abstractNumId w:val="41"/>
  </w:num>
  <w:num w:numId="14" w16cid:durableId="1879050576">
    <w:abstractNumId w:val="38"/>
  </w:num>
  <w:num w:numId="15" w16cid:durableId="13846872">
    <w:abstractNumId w:val="7"/>
  </w:num>
  <w:num w:numId="16" w16cid:durableId="824587311">
    <w:abstractNumId w:val="6"/>
  </w:num>
  <w:num w:numId="17" w16cid:durableId="1620915949">
    <w:abstractNumId w:val="5"/>
  </w:num>
  <w:num w:numId="18" w16cid:durableId="339312033">
    <w:abstractNumId w:val="4"/>
  </w:num>
  <w:num w:numId="19" w16cid:durableId="1656179627">
    <w:abstractNumId w:val="8"/>
  </w:num>
  <w:num w:numId="20" w16cid:durableId="584338428">
    <w:abstractNumId w:val="3"/>
  </w:num>
  <w:num w:numId="21" w16cid:durableId="165167762">
    <w:abstractNumId w:val="2"/>
  </w:num>
  <w:num w:numId="22" w16cid:durableId="1486314122">
    <w:abstractNumId w:val="1"/>
  </w:num>
  <w:num w:numId="23" w16cid:durableId="1216550569">
    <w:abstractNumId w:val="0"/>
  </w:num>
  <w:num w:numId="24" w16cid:durableId="956982843">
    <w:abstractNumId w:val="23"/>
  </w:num>
  <w:num w:numId="25" w16cid:durableId="198711638">
    <w:abstractNumId w:val="34"/>
  </w:num>
  <w:num w:numId="26" w16cid:durableId="652374150">
    <w:abstractNumId w:val="21"/>
  </w:num>
  <w:num w:numId="27" w16cid:durableId="414011190">
    <w:abstractNumId w:val="26"/>
  </w:num>
  <w:num w:numId="28" w16cid:durableId="1392266509">
    <w:abstractNumId w:val="43"/>
  </w:num>
  <w:num w:numId="29" w16cid:durableId="1917589507">
    <w:abstractNumId w:val="44"/>
  </w:num>
  <w:num w:numId="30" w16cid:durableId="1293445680">
    <w:abstractNumId w:val="33"/>
  </w:num>
  <w:num w:numId="31" w16cid:durableId="465516195">
    <w:abstractNumId w:val="30"/>
  </w:num>
  <w:num w:numId="32" w16cid:durableId="1030688657">
    <w:abstractNumId w:val="22"/>
  </w:num>
  <w:num w:numId="33" w16cid:durableId="939410388">
    <w:abstractNumId w:val="35"/>
  </w:num>
  <w:num w:numId="34" w16cid:durableId="1548368694">
    <w:abstractNumId w:val="14"/>
  </w:num>
  <w:num w:numId="35" w16cid:durableId="1872111869">
    <w:abstractNumId w:val="13"/>
  </w:num>
  <w:num w:numId="36" w16cid:durableId="1580286468">
    <w:abstractNumId w:val="42"/>
  </w:num>
  <w:num w:numId="37" w16cid:durableId="707801265">
    <w:abstractNumId w:val="27"/>
  </w:num>
  <w:num w:numId="38" w16cid:durableId="2045709755">
    <w:abstractNumId w:val="36"/>
  </w:num>
  <w:num w:numId="39" w16cid:durableId="535579017">
    <w:abstractNumId w:val="47"/>
  </w:num>
  <w:num w:numId="40" w16cid:durableId="1587297940">
    <w:abstractNumId w:val="24"/>
  </w:num>
  <w:num w:numId="41" w16cid:durableId="1154416712">
    <w:abstractNumId w:val="18"/>
  </w:num>
  <w:num w:numId="42" w16cid:durableId="97415273">
    <w:abstractNumId w:val="39"/>
  </w:num>
  <w:num w:numId="43" w16cid:durableId="111092477">
    <w:abstractNumId w:val="29"/>
  </w:num>
  <w:num w:numId="44" w16cid:durableId="27875864">
    <w:abstractNumId w:val="12"/>
  </w:num>
  <w:num w:numId="45" w16cid:durableId="668755549">
    <w:abstractNumId w:val="15"/>
  </w:num>
  <w:num w:numId="46" w16cid:durableId="522015174">
    <w:abstractNumId w:val="10"/>
  </w:num>
  <w:num w:numId="47" w16cid:durableId="1412435182">
    <w:abstractNumId w:val="28"/>
  </w:num>
  <w:num w:numId="48" w16cid:durableId="579872057">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D09"/>
    <w:rsid w:val="00091D0E"/>
    <w:rsid w:val="000925FD"/>
    <w:rsid w:val="00096BF9"/>
    <w:rsid w:val="000A037A"/>
    <w:rsid w:val="000A1353"/>
    <w:rsid w:val="000A175A"/>
    <w:rsid w:val="000A36B8"/>
    <w:rsid w:val="000A3E3A"/>
    <w:rsid w:val="000A4BFA"/>
    <w:rsid w:val="000B07F1"/>
    <w:rsid w:val="000B1DBC"/>
    <w:rsid w:val="000B2EEB"/>
    <w:rsid w:val="000B4278"/>
    <w:rsid w:val="000B53A8"/>
    <w:rsid w:val="000B7558"/>
    <w:rsid w:val="000B7BCF"/>
    <w:rsid w:val="000C00D3"/>
    <w:rsid w:val="000C0E9B"/>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1B9"/>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0EA3"/>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5FFA"/>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E47"/>
    <w:rsid w:val="0025393D"/>
    <w:rsid w:val="00254371"/>
    <w:rsid w:val="00254EBB"/>
    <w:rsid w:val="0025778B"/>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6E60"/>
    <w:rsid w:val="00306F6C"/>
    <w:rsid w:val="00307F65"/>
    <w:rsid w:val="00310409"/>
    <w:rsid w:val="00310681"/>
    <w:rsid w:val="00310921"/>
    <w:rsid w:val="00311508"/>
    <w:rsid w:val="003121E2"/>
    <w:rsid w:val="00312B8C"/>
    <w:rsid w:val="00313947"/>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8E4"/>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253"/>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87EAD"/>
    <w:rsid w:val="00490813"/>
    <w:rsid w:val="00490E2A"/>
    <w:rsid w:val="00493F5A"/>
    <w:rsid w:val="00494C2D"/>
    <w:rsid w:val="00495283"/>
    <w:rsid w:val="00495410"/>
    <w:rsid w:val="004964A5"/>
    <w:rsid w:val="004A0703"/>
    <w:rsid w:val="004A0F46"/>
    <w:rsid w:val="004A10EC"/>
    <w:rsid w:val="004A2B20"/>
    <w:rsid w:val="004A360A"/>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539"/>
    <w:rsid w:val="004F4CF7"/>
    <w:rsid w:val="004F536A"/>
    <w:rsid w:val="004F5D2D"/>
    <w:rsid w:val="005020E7"/>
    <w:rsid w:val="00502ACC"/>
    <w:rsid w:val="00502B46"/>
    <w:rsid w:val="00503171"/>
    <w:rsid w:val="005104C3"/>
    <w:rsid w:val="005108C8"/>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715"/>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ABC"/>
    <w:rsid w:val="00586F17"/>
    <w:rsid w:val="0059146F"/>
    <w:rsid w:val="00591568"/>
    <w:rsid w:val="00592B81"/>
    <w:rsid w:val="00593957"/>
    <w:rsid w:val="00596A09"/>
    <w:rsid w:val="00596EF7"/>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448F"/>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380"/>
    <w:rsid w:val="00617799"/>
    <w:rsid w:val="00617C52"/>
    <w:rsid w:val="0062034B"/>
    <w:rsid w:val="006204D3"/>
    <w:rsid w:val="00622BEA"/>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64D5"/>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045"/>
    <w:rsid w:val="00803FFD"/>
    <w:rsid w:val="0080587E"/>
    <w:rsid w:val="008069E1"/>
    <w:rsid w:val="008120E4"/>
    <w:rsid w:val="008123F1"/>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2A7"/>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16E"/>
    <w:rsid w:val="0096171E"/>
    <w:rsid w:val="00961B32"/>
    <w:rsid w:val="00962FBF"/>
    <w:rsid w:val="00963D86"/>
    <w:rsid w:val="0096490A"/>
    <w:rsid w:val="0097184A"/>
    <w:rsid w:val="00971C47"/>
    <w:rsid w:val="00972C97"/>
    <w:rsid w:val="00972E18"/>
    <w:rsid w:val="009735D6"/>
    <w:rsid w:val="00974482"/>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299F"/>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A665D"/>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B4EA8"/>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19B8"/>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5ED3"/>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694"/>
    <w:rsid w:val="00CC6CA5"/>
    <w:rsid w:val="00CC7A73"/>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B7E2B"/>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66D8"/>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2F0B"/>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1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5AIRPNAIUNRU-1156379521-3721</_dlc_DocId>
    <_dlc_DocIdUrl xmlns="71c5aaf6-e6ce-465b-b873-5148d2a4c105">
      <Url>https://nokia.sharepoint.com/sites/c5g/e2earch/_layouts/15/DocIdRedir.aspx?ID=5AIRPNAIUNRU-1156379521-3721</Url>
      <Description>5AIRPNAIUNRU-1156379521-3721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1</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The LBT waiting time for correct NR-U MRO analysis</vt:lpstr>
    </vt:vector>
  </TitlesOfParts>
  <Company>Nokia, Nokia Shanghai Bell</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LBT waiting time for correct classification of MRO events</dc:title>
  <dc:subject>3GPP RAN3 #120</dc:subject>
  <dc:creator>Benoist Sébire</dc:creator>
  <cp:keywords>&lt;keyword[, keyword, ]&gt;</cp:keywords>
  <dc:description/>
  <cp:lastModifiedBy>Nokia</cp:lastModifiedBy>
  <cp:revision>9</cp:revision>
  <cp:lastPrinted>2019-03-27T07:16:00Z</cp:lastPrinted>
  <dcterms:created xsi:type="dcterms:W3CDTF">2023-05-09T07:53:00Z</dcterms:created>
  <dcterms:modified xsi:type="dcterms:W3CDTF">2023-05-11T13:52:00Z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774b825f-8d02-484e-ad45-dd17ade6477a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